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95134E" w:rsidRDefault="0095134E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59" w:rsidRPr="0095134E" w:rsidRDefault="00A82111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Değerli Sivil Toplum Kuruluşu Temsilcileri,</w:t>
      </w:r>
    </w:p>
    <w:p w:rsidR="00CC2413" w:rsidRPr="0095134E" w:rsidRDefault="00D25C03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34E">
        <w:rPr>
          <w:rFonts w:ascii="Times New Roman" w:hAnsi="Times New Roman" w:cs="Times New Roman"/>
          <w:sz w:val="24"/>
          <w:szCs w:val="24"/>
        </w:rPr>
        <w:t xml:space="preserve">İçişleri Bakanlığı Sivil Toplumla İlişkiler Genel Müdürlüğü tarafından, sivil toplum kuruluşlarının </w:t>
      </w:r>
      <w:r w:rsidRPr="0095134E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5134E">
        <w:rPr>
          <w:rFonts w:ascii="Times New Roman" w:hAnsi="Times New Roman" w:cs="Times New Roman"/>
          <w:i/>
          <w:sz w:val="24"/>
          <w:szCs w:val="24"/>
        </w:rPr>
        <w:t>Karaparanın</w:t>
      </w:r>
      <w:proofErr w:type="spellEnd"/>
      <w:r w:rsidRPr="0095134E">
        <w:rPr>
          <w:rFonts w:ascii="Times New Roman" w:hAnsi="Times New Roman" w:cs="Times New Roman"/>
          <w:i/>
          <w:sz w:val="24"/>
          <w:szCs w:val="24"/>
        </w:rPr>
        <w:t xml:space="preserve"> Aklanması (KA) ve Terörizmin Finansmanı (TF) ile Mücadele</w:t>
      </w:r>
      <w:r w:rsidR="00031045">
        <w:rPr>
          <w:rFonts w:ascii="Times New Roman" w:hAnsi="Times New Roman" w:cs="Times New Roman"/>
          <w:i/>
          <w:sz w:val="24"/>
          <w:szCs w:val="24"/>
        </w:rPr>
        <w:t>, dernek denetimlerine ilişkin rehberlik ve eğitim</w:t>
      </w:r>
      <w:r w:rsidRPr="0095134E">
        <w:rPr>
          <w:rFonts w:ascii="Times New Roman" w:hAnsi="Times New Roman" w:cs="Times New Roman"/>
          <w:i/>
          <w:sz w:val="24"/>
          <w:szCs w:val="24"/>
        </w:rPr>
        <w:t>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 ve </w:t>
      </w:r>
      <w:r w:rsidRPr="0095134E">
        <w:rPr>
          <w:rFonts w:ascii="Times New Roman" w:hAnsi="Times New Roman" w:cs="Times New Roman"/>
          <w:i/>
          <w:sz w:val="24"/>
          <w:szCs w:val="24"/>
        </w:rPr>
        <w:t>“proje hazırlama, fon bulma ve kamu kurumları tarafından STK’lara sunulan proje destekleri”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 konularında bilgilendirilmeleri amacıyla öğleden önce ve sonra olmak üzere </w:t>
      </w:r>
      <w:r w:rsidR="00031045">
        <w:rPr>
          <w:rFonts w:ascii="Times New Roman" w:hAnsi="Times New Roman" w:cs="Times New Roman"/>
          <w:b/>
          <w:sz w:val="24"/>
          <w:szCs w:val="24"/>
        </w:rPr>
        <w:t>iki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,  </w:t>
      </w:r>
      <w:r w:rsidRPr="0095134E">
        <w:rPr>
          <w:rFonts w:ascii="Times New Roman" w:hAnsi="Times New Roman" w:cs="Times New Roman"/>
          <w:b/>
          <w:sz w:val="24"/>
          <w:szCs w:val="24"/>
        </w:rPr>
        <w:t>27 Temmuz 2022 Çarşamba g</w:t>
      </w:r>
      <w:r w:rsidR="00D4189F">
        <w:rPr>
          <w:rFonts w:ascii="Times New Roman" w:hAnsi="Times New Roman" w:cs="Times New Roman"/>
          <w:b/>
          <w:sz w:val="24"/>
          <w:szCs w:val="24"/>
        </w:rPr>
        <w:t>ünü (10.00-12.30 ve 13.30-16</w:t>
      </w:r>
      <w:r w:rsidRPr="0095134E">
        <w:rPr>
          <w:rFonts w:ascii="Times New Roman" w:hAnsi="Times New Roman" w:cs="Times New Roman"/>
          <w:b/>
          <w:sz w:val="24"/>
          <w:szCs w:val="24"/>
        </w:rPr>
        <w:t>.00 arasında)</w:t>
      </w:r>
      <w:r w:rsidRPr="0095134E">
        <w:rPr>
          <w:rFonts w:ascii="Times New Roman" w:hAnsi="Times New Roman" w:cs="Times New Roman"/>
          <w:sz w:val="24"/>
          <w:szCs w:val="24"/>
        </w:rPr>
        <w:t xml:space="preserve"> merkezi 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Trabzon, Giresun, Samsun, Ordu, Artvin </w:t>
      </w:r>
      <w:r w:rsidRPr="00D4189F">
        <w:rPr>
          <w:rFonts w:ascii="Times New Roman" w:hAnsi="Times New Roman" w:cs="Times New Roman"/>
          <w:sz w:val="24"/>
          <w:szCs w:val="24"/>
        </w:rPr>
        <w:t>ve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Rize</w:t>
      </w:r>
      <w:r w:rsidRPr="0095134E">
        <w:rPr>
          <w:rFonts w:ascii="Times New Roman" w:hAnsi="Times New Roman" w:cs="Times New Roman"/>
          <w:sz w:val="24"/>
          <w:szCs w:val="24"/>
        </w:rPr>
        <w:t xml:space="preserve"> illerinde bulunan STK’lara </w:t>
      </w:r>
      <w:r w:rsidRPr="0095134E">
        <w:rPr>
          <w:rFonts w:ascii="Times New Roman" w:hAnsi="Times New Roman" w:cs="Times New Roman"/>
          <w:b/>
          <w:sz w:val="24"/>
          <w:szCs w:val="24"/>
        </w:rPr>
        <w:t>çevrimiçi</w:t>
      </w:r>
      <w:r w:rsidRPr="0095134E">
        <w:rPr>
          <w:rFonts w:ascii="Times New Roman" w:hAnsi="Times New Roman" w:cs="Times New Roman"/>
          <w:sz w:val="24"/>
          <w:szCs w:val="24"/>
        </w:rPr>
        <w:t xml:space="preserve"> şekilde gerçekleştirilecektir.  </w:t>
      </w:r>
      <w:proofErr w:type="gramEnd"/>
    </w:p>
    <w:p w:rsidR="006F1976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>ne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katılmak isteyen STK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temsilcilerinin</w:t>
      </w:r>
      <w:r w:rsidRPr="0095134E">
        <w:rPr>
          <w:rFonts w:ascii="Times New Roman" w:hAnsi="Times New Roman" w:cs="Times New Roman"/>
          <w:sz w:val="24"/>
          <w:szCs w:val="24"/>
        </w:rPr>
        <w:t xml:space="preserve">, ekte sunulan </w:t>
      </w:r>
      <w:r w:rsidR="00DB4992" w:rsidRPr="0095134E">
        <w:rPr>
          <w:rFonts w:ascii="Times New Roman" w:hAnsi="Times New Roman" w:cs="Times New Roman"/>
          <w:sz w:val="24"/>
          <w:szCs w:val="24"/>
        </w:rPr>
        <w:t>“</w:t>
      </w:r>
      <w:r w:rsidR="00DB4992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="00F2799E" w:rsidRPr="0095134E">
        <w:rPr>
          <w:rFonts w:ascii="Times New Roman" w:hAnsi="Times New Roman" w:cs="Times New Roman"/>
          <w:b/>
          <w:sz w:val="24"/>
          <w:szCs w:val="24"/>
        </w:rPr>
        <w:t>”</w:t>
      </w:r>
      <w:r w:rsidR="00F2799E" w:rsidRPr="0095134E">
        <w:rPr>
          <w:rFonts w:ascii="Times New Roman" w:hAnsi="Times New Roman" w:cs="Times New Roman"/>
          <w:sz w:val="24"/>
          <w:szCs w:val="24"/>
        </w:rPr>
        <w:t>nu</w:t>
      </w:r>
      <w:r w:rsidR="00DB4992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doldurarak en geç </w:t>
      </w:r>
      <w:r w:rsidR="006216A8" w:rsidRPr="0095134E">
        <w:rPr>
          <w:rFonts w:ascii="Times New Roman" w:hAnsi="Times New Roman" w:cs="Times New Roman"/>
          <w:b/>
          <w:sz w:val="24"/>
          <w:szCs w:val="24"/>
        </w:rPr>
        <w:t>2</w:t>
      </w:r>
      <w:r w:rsidR="00CC2413" w:rsidRPr="0095134E">
        <w:rPr>
          <w:rFonts w:ascii="Times New Roman" w:hAnsi="Times New Roman" w:cs="Times New Roman"/>
          <w:b/>
          <w:sz w:val="24"/>
          <w:szCs w:val="24"/>
        </w:rPr>
        <w:t>5</w:t>
      </w:r>
      <w:r w:rsidR="001B0D81" w:rsidRPr="00951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E77" w:rsidRPr="0095134E">
        <w:rPr>
          <w:rFonts w:ascii="Times New Roman" w:hAnsi="Times New Roman" w:cs="Times New Roman"/>
          <w:b/>
          <w:sz w:val="24"/>
          <w:szCs w:val="24"/>
        </w:rPr>
        <w:t>Temmuz</w:t>
      </w:r>
      <w:r w:rsidR="009377EB" w:rsidRPr="009513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5134E">
        <w:rPr>
          <w:rFonts w:ascii="Times New Roman" w:hAnsi="Times New Roman" w:cs="Times New Roman"/>
          <w:sz w:val="24"/>
          <w:szCs w:val="24"/>
        </w:rPr>
        <w:t xml:space="preserve"> tarihine kadar Valiliğimiz</w:t>
      </w:r>
      <w:r w:rsidR="00F2799E" w:rsidRPr="0095134E">
        <w:rPr>
          <w:rFonts w:ascii="Times New Roman" w:hAnsi="Times New Roman" w:cs="Times New Roman"/>
          <w:sz w:val="24"/>
          <w:szCs w:val="24"/>
        </w:rPr>
        <w:t>in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7A3A">
        <w:rPr>
          <w:rFonts w:ascii="Times New Roman" w:hAnsi="Times New Roman" w:cs="Times New Roman"/>
          <w:sz w:val="24"/>
          <w:szCs w:val="24"/>
        </w:rPr>
        <w:fldChar w:fldCharType="begin"/>
      </w:r>
      <w:r w:rsidR="00727A3A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727A3A" w:rsidRPr="00727A3A">
        <w:rPr>
          <w:rFonts w:ascii="Times New Roman" w:hAnsi="Times New Roman" w:cs="Times New Roman"/>
          <w:sz w:val="24"/>
          <w:szCs w:val="24"/>
        </w:rPr>
        <w:instrText>sti@ordu.gov.tr</w:instrText>
      </w:r>
      <w:r w:rsidR="00727A3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27A3A">
        <w:rPr>
          <w:rFonts w:ascii="Times New Roman" w:hAnsi="Times New Roman" w:cs="Times New Roman"/>
          <w:sz w:val="24"/>
          <w:szCs w:val="24"/>
        </w:rPr>
        <w:fldChar w:fldCharType="separate"/>
      </w:r>
      <w:r w:rsidR="00727A3A" w:rsidRPr="00970086">
        <w:rPr>
          <w:rStyle w:val="Kpr"/>
          <w:rFonts w:ascii="Times New Roman" w:hAnsi="Times New Roman" w:cs="Times New Roman"/>
          <w:sz w:val="24"/>
          <w:szCs w:val="24"/>
        </w:rPr>
        <w:t>sti@ordu.gov.tr</w:t>
      </w:r>
      <w:r w:rsidR="00727A3A">
        <w:rPr>
          <w:rFonts w:ascii="Times New Roman" w:hAnsi="Times New Roman" w:cs="Times New Roman"/>
          <w:sz w:val="24"/>
          <w:szCs w:val="24"/>
        </w:rPr>
        <w:fldChar w:fldCharType="end"/>
      </w:r>
      <w:r w:rsidR="00727A3A">
        <w:rPr>
          <w:rFonts w:ascii="Times New Roman" w:hAnsi="Times New Roman" w:cs="Times New Roman"/>
          <w:sz w:val="24"/>
          <w:szCs w:val="24"/>
        </w:rPr>
        <w:t xml:space="preserve"> </w:t>
      </w:r>
      <w:r w:rsidRPr="00727A3A">
        <w:rPr>
          <w:rFonts w:ascii="Times New Roman" w:hAnsi="Times New Roman" w:cs="Times New Roman"/>
          <w:sz w:val="24"/>
          <w:szCs w:val="24"/>
        </w:rPr>
        <w:t>e-mail ad</w:t>
      </w:r>
      <w:r w:rsidR="00B318FB" w:rsidRPr="00727A3A">
        <w:rPr>
          <w:rFonts w:ascii="Times New Roman" w:hAnsi="Times New Roman" w:cs="Times New Roman"/>
          <w:sz w:val="24"/>
          <w:szCs w:val="24"/>
        </w:rPr>
        <w:t>resine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göndermeleri</w:t>
      </w:r>
      <w:r w:rsidR="009E2752" w:rsidRPr="0095134E">
        <w:rPr>
          <w:rFonts w:ascii="Times New Roman" w:hAnsi="Times New Roman" w:cs="Times New Roman"/>
          <w:sz w:val="24"/>
          <w:szCs w:val="24"/>
        </w:rPr>
        <w:t>ni rica ederiz.</w:t>
      </w:r>
    </w:p>
    <w:p w:rsidR="00B318FB" w:rsidRPr="0095134E" w:rsidRDefault="000D0B37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K</w:t>
      </w:r>
      <w:r w:rsidR="006F1976" w:rsidRPr="0095134E">
        <w:rPr>
          <w:rFonts w:ascii="Times New Roman" w:hAnsi="Times New Roman" w:cs="Times New Roman"/>
          <w:sz w:val="24"/>
          <w:szCs w:val="24"/>
        </w:rPr>
        <w:t xml:space="preserve">ontenjanın sınırlı olması nedeniyle </w:t>
      </w:r>
      <w:r w:rsidR="009377EB" w:rsidRPr="0095134E">
        <w:rPr>
          <w:rFonts w:ascii="Times New Roman" w:hAnsi="Times New Roman" w:cs="Times New Roman"/>
          <w:sz w:val="24"/>
          <w:szCs w:val="24"/>
        </w:rPr>
        <w:t>h</w:t>
      </w:r>
      <w:r w:rsidR="006F1976" w:rsidRPr="0095134E">
        <w:rPr>
          <w:rFonts w:ascii="Times New Roman" w:hAnsi="Times New Roman" w:cs="Times New Roman"/>
          <w:sz w:val="24"/>
          <w:szCs w:val="24"/>
        </w:rPr>
        <w:t>er bir sivil toplum kuruluşundan sadece bir (1) temsilcinin katılması gerekmektedir.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5033B3" w:rsidRPr="0095134E">
        <w:rPr>
          <w:rFonts w:ascii="Times New Roman" w:hAnsi="Times New Roman" w:cs="Times New Roman"/>
          <w:sz w:val="24"/>
          <w:szCs w:val="24"/>
        </w:rPr>
        <w:t xml:space="preserve">Kontenjan nedeniyle katılamayan STK’lar için bilahare eğitim planlanacaktır. 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Merkezi </w:t>
      </w:r>
      <w:r w:rsidR="00A21E95" w:rsidRPr="00A21E95">
        <w:rPr>
          <w:rFonts w:ascii="Times New Roman" w:hAnsi="Times New Roman" w:cs="Times New Roman"/>
          <w:sz w:val="24"/>
          <w:szCs w:val="24"/>
        </w:rPr>
        <w:t xml:space="preserve">Trabzon, Giresun, Samsun, Ordu, Artvin ve Rize </w:t>
      </w:r>
      <w:r w:rsidR="00DF3860" w:rsidRPr="0095134E">
        <w:rPr>
          <w:rFonts w:ascii="Times New Roman" w:hAnsi="Times New Roman" w:cs="Times New Roman"/>
          <w:sz w:val="24"/>
          <w:szCs w:val="24"/>
        </w:rPr>
        <w:t>illeri dışında olan STK’ların başvuruları dikkate alınmayacaktır.</w:t>
      </w:r>
    </w:p>
    <w:p w:rsidR="006F1976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4E">
        <w:rPr>
          <w:rFonts w:ascii="Times New Roman" w:hAnsi="Times New Roman" w:cs="Times New Roman"/>
          <w:sz w:val="24"/>
          <w:szCs w:val="24"/>
        </w:rPr>
        <w:t>“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nda” </w:t>
      </w:r>
      <w:r w:rsidR="007C4E77" w:rsidRPr="0095134E">
        <w:rPr>
          <w:rFonts w:ascii="Times New Roman" w:hAnsi="Times New Roman" w:cs="Times New Roman"/>
          <w:sz w:val="24"/>
          <w:szCs w:val="24"/>
        </w:rPr>
        <w:t>belirtilen e-posta adreslerin</w:t>
      </w:r>
      <w:r w:rsidR="00056049" w:rsidRPr="0095134E">
        <w:rPr>
          <w:rFonts w:ascii="Times New Roman" w:hAnsi="Times New Roman" w:cs="Times New Roman"/>
          <w:sz w:val="24"/>
          <w:szCs w:val="24"/>
        </w:rPr>
        <w:t>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6216A8" w:rsidRPr="0095134E">
        <w:rPr>
          <w:rFonts w:ascii="Times New Roman" w:hAnsi="Times New Roman" w:cs="Times New Roman"/>
          <w:b/>
          <w:sz w:val="24"/>
          <w:szCs w:val="24"/>
        </w:rPr>
        <w:t>2</w:t>
      </w:r>
      <w:r w:rsidR="00CC2413" w:rsidRPr="0095134E">
        <w:rPr>
          <w:rFonts w:ascii="Times New Roman" w:hAnsi="Times New Roman" w:cs="Times New Roman"/>
          <w:b/>
          <w:sz w:val="24"/>
          <w:szCs w:val="24"/>
        </w:rPr>
        <w:t>6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E77" w:rsidRPr="0095134E">
        <w:rPr>
          <w:rFonts w:ascii="Times New Roman" w:hAnsi="Times New Roman" w:cs="Times New Roman"/>
          <w:b/>
          <w:sz w:val="24"/>
          <w:szCs w:val="24"/>
        </w:rPr>
        <w:t>Temmuz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7958FC" w:rsidRPr="0095134E">
        <w:rPr>
          <w:rFonts w:ascii="Times New Roman" w:hAnsi="Times New Roman" w:cs="Times New Roman"/>
          <w:sz w:val="24"/>
          <w:szCs w:val="24"/>
        </w:rPr>
        <w:t xml:space="preserve">tarihi mesai bitimine kadar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6F1976" w:rsidRPr="0095134E">
        <w:rPr>
          <w:rFonts w:ascii="Times New Roman" w:hAnsi="Times New Roman" w:cs="Times New Roman"/>
          <w:b/>
          <w:sz w:val="24"/>
          <w:szCs w:val="24"/>
        </w:rPr>
        <w:t xml:space="preserve">Sivil Toplumla İlişkiler Müdürlüğü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>tarafından</w:t>
      </w:r>
      <w:r w:rsidR="0005604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93668B" w:rsidRPr="0095134E">
        <w:rPr>
          <w:rFonts w:ascii="Times New Roman" w:hAnsi="Times New Roman" w:cs="Times New Roman"/>
          <w:b/>
          <w:sz w:val="24"/>
          <w:szCs w:val="24"/>
        </w:rPr>
        <w:t>çevrimiçi toplantı linki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iletilecektir.</w:t>
      </w:r>
      <w:r w:rsidR="00C94759" w:rsidRPr="0095134E">
        <w:rPr>
          <w:sz w:val="24"/>
        </w:rPr>
        <w:t xml:space="preserve"> </w:t>
      </w:r>
      <w:r w:rsidR="00C9475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C94759" w:rsidRPr="0095134E">
        <w:rPr>
          <w:rFonts w:ascii="Times New Roman" w:hAnsi="Times New Roman" w:cs="Times New Roman"/>
          <w:b/>
          <w:sz w:val="24"/>
          <w:szCs w:val="24"/>
          <w:u w:val="single"/>
        </w:rPr>
        <w:t>Söz konusu 2 Eğitime de aynı toplantı linki ile giriş yapılacaktır.</w:t>
      </w:r>
    </w:p>
    <w:p w:rsidR="009E2752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b/>
          <w:sz w:val="24"/>
          <w:szCs w:val="24"/>
        </w:rPr>
        <w:t>NOT: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F2799E" w:rsidRPr="0095134E">
        <w:rPr>
          <w:rFonts w:ascii="Times New Roman" w:hAnsi="Times New Roman" w:cs="Times New Roman"/>
          <w:sz w:val="24"/>
          <w:szCs w:val="24"/>
        </w:rPr>
        <w:t>Söz konusu eğitime ka</w:t>
      </w:r>
      <w:r w:rsidR="001B0D81" w:rsidRPr="0095134E">
        <w:rPr>
          <w:rFonts w:ascii="Times New Roman" w:hAnsi="Times New Roman" w:cs="Times New Roman"/>
          <w:sz w:val="24"/>
          <w:szCs w:val="24"/>
        </w:rPr>
        <w:t>tılım sağlamayı düşünüyorsanız</w:t>
      </w:r>
      <w:r w:rsidR="00F2799E" w:rsidRPr="0095134E">
        <w:rPr>
          <w:rFonts w:ascii="Times New Roman" w:hAnsi="Times New Roman" w:cs="Times New Roman"/>
          <w:sz w:val="24"/>
          <w:szCs w:val="24"/>
        </w:rPr>
        <w:t xml:space="preserve"> e</w:t>
      </w:r>
      <w:r w:rsidRPr="0095134E">
        <w:rPr>
          <w:rFonts w:ascii="Times New Roman" w:hAnsi="Times New Roman" w:cs="Times New Roman"/>
          <w:sz w:val="24"/>
          <w:szCs w:val="24"/>
        </w:rPr>
        <w:t>kte sunulan “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Başvuru Formunu” </w:t>
      </w:r>
      <w:r w:rsidRPr="0095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eksiksiz </w:t>
      </w:r>
      <w:r w:rsidRPr="0095134E">
        <w:rPr>
          <w:rFonts w:ascii="Times New Roman" w:hAnsi="Times New Roman" w:cs="Times New Roman"/>
          <w:sz w:val="24"/>
          <w:szCs w:val="24"/>
        </w:rPr>
        <w:t>bir şekilde doldurmanızı rica ederiz.</w:t>
      </w:r>
    </w:p>
    <w:p w:rsidR="000D0B37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İlginiz için şimdiden teşekkür ederiz.</w:t>
      </w:r>
    </w:p>
    <w:p w:rsidR="00893CD8" w:rsidRDefault="00893CD8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893CD8" w:rsidRDefault="00893CD8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893CD8" w:rsidRDefault="00893CD8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893CD8" w:rsidRDefault="00893CD8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893CD8" w:rsidRDefault="00893CD8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893CD8" w:rsidRDefault="00893CD8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95134E" w:rsidRDefault="0095134E" w:rsidP="00893CD8">
      <w:pPr>
        <w:spacing w:before="120" w:after="120" w:line="240" w:lineRule="auto"/>
        <w:jc w:val="center"/>
        <w:rPr>
          <w:rFonts w:ascii="Times New Roman" w:hAnsi="Times New Roman" w:cs="Times New Roman"/>
          <w:szCs w:val="24"/>
        </w:rPr>
      </w:pPr>
    </w:p>
    <w:p w:rsidR="00A21E95" w:rsidRDefault="00A21E95" w:rsidP="00893CD8">
      <w:pPr>
        <w:spacing w:before="120" w:after="120" w:line="240" w:lineRule="auto"/>
        <w:jc w:val="center"/>
        <w:rPr>
          <w:rFonts w:ascii="Times New Roman" w:hAnsi="Times New Roman" w:cs="Times New Roman"/>
          <w:szCs w:val="24"/>
        </w:rPr>
      </w:pPr>
    </w:p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SİVİL TOPLUMA REHBERLİK EĞİTİMİ</w:t>
      </w:r>
    </w:p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ÖĞLEDEN ÖNCE PROGRAMI</w:t>
      </w:r>
    </w:p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Eğitimin Yapılacağı Tarih: 27/07/2022</w:t>
      </w:r>
    </w:p>
    <w:p w:rsidR="006F1976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2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893CD8" w:rsidRPr="00893CD8" w:rsidTr="00FE66E4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893CD8" w:rsidRPr="00893CD8" w:rsidRDefault="00893CD8" w:rsidP="00893CD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93CD8">
              <w:rPr>
                <w:rFonts w:ascii="Calibri" w:eastAsia="Times New Roman" w:hAnsi="Calibri" w:cs="Calibri"/>
                <w:b/>
                <w:color w:val="000000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893CD8" w:rsidRPr="00893CD8" w:rsidRDefault="00893CD8" w:rsidP="00893CD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93CD8">
              <w:rPr>
                <w:rFonts w:ascii="Calibri" w:eastAsia="Times New Roman" w:hAnsi="Calibri" w:cs="Calibri"/>
                <w:b/>
                <w:color w:val="000000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893CD8" w:rsidRPr="00893CD8" w:rsidRDefault="00893CD8" w:rsidP="00893C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3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D8" w:rsidRPr="00893CD8" w:rsidTr="00FE66E4">
        <w:trPr>
          <w:trHeight w:val="940"/>
        </w:trPr>
        <w:tc>
          <w:tcPr>
            <w:tcW w:w="1418" w:type="dxa"/>
            <w:vAlign w:val="center"/>
            <w:hideMark/>
          </w:tcPr>
          <w:p w:rsidR="00893CD8" w:rsidRPr="00893CD8" w:rsidRDefault="00893CD8" w:rsidP="00893CD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3CD8">
              <w:rPr>
                <w:rFonts w:eastAsia="Times New Roman" w:cstheme="minorHAnsi"/>
                <w:color w:val="000000"/>
                <w:sz w:val="20"/>
              </w:rPr>
              <w:t>10.00-11.30</w:t>
            </w:r>
          </w:p>
        </w:tc>
        <w:tc>
          <w:tcPr>
            <w:tcW w:w="5528" w:type="dxa"/>
            <w:vAlign w:val="center"/>
            <w:hideMark/>
          </w:tcPr>
          <w:p w:rsidR="00893CD8" w:rsidRPr="00893CD8" w:rsidRDefault="00893CD8" w:rsidP="00893C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3CD8">
              <w:rPr>
                <w:rFonts w:ascii="Calibri" w:eastAsia="Times New Roman" w:hAnsi="Calibri" w:cs="Calibri"/>
                <w:color w:val="000000"/>
              </w:rPr>
              <w:t>Karaparanın</w:t>
            </w:r>
            <w:proofErr w:type="spellEnd"/>
            <w:r w:rsidRPr="00893CD8">
              <w:rPr>
                <w:rFonts w:ascii="Calibri" w:eastAsia="Times New Roman" w:hAnsi="Calibri" w:cs="Calibri"/>
                <w:color w:val="000000"/>
              </w:rPr>
              <w:t xml:space="preserve"> Aklanması ve Terörizmin Finansmanının Önlenmesine Yönelik Genel Bilgilendirme Sunumu</w:t>
            </w:r>
          </w:p>
        </w:tc>
        <w:tc>
          <w:tcPr>
            <w:tcW w:w="2126" w:type="dxa"/>
            <w:vAlign w:val="center"/>
            <w:hideMark/>
          </w:tcPr>
          <w:p w:rsidR="008642B7" w:rsidRPr="00893CD8" w:rsidRDefault="00893CD8" w:rsidP="00893CD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3CD8">
              <w:rPr>
                <w:rFonts w:ascii="Calibri" w:eastAsia="Times New Roman" w:hAnsi="Calibri" w:cs="Calibri"/>
                <w:color w:val="000000"/>
              </w:rPr>
              <w:t>Sivil Toplumla İlişkiler Genel Müdürlüğü</w:t>
            </w:r>
            <w:r w:rsidR="008642B7">
              <w:rPr>
                <w:rFonts w:ascii="Calibri" w:eastAsia="Times New Roman" w:hAnsi="Calibri" w:cs="Calibri"/>
                <w:color w:val="000000"/>
              </w:rPr>
              <w:t xml:space="preserve"> – Denetim Hizmetleri Başkanlığı</w:t>
            </w:r>
          </w:p>
        </w:tc>
      </w:tr>
      <w:tr w:rsidR="00893CD8" w:rsidRPr="00893CD8" w:rsidTr="00FE66E4">
        <w:trPr>
          <w:trHeight w:val="330"/>
        </w:trPr>
        <w:tc>
          <w:tcPr>
            <w:tcW w:w="1418" w:type="dxa"/>
            <w:vAlign w:val="center"/>
            <w:hideMark/>
          </w:tcPr>
          <w:p w:rsidR="00893CD8" w:rsidRPr="00893CD8" w:rsidRDefault="00893CD8" w:rsidP="00893CD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3CD8">
              <w:rPr>
                <w:rFonts w:eastAsia="Times New Roman" w:cstheme="minorHAnsi"/>
                <w:color w:val="000000"/>
                <w:sz w:val="20"/>
              </w:rPr>
              <w:t>11.30-12.30</w:t>
            </w:r>
          </w:p>
        </w:tc>
        <w:tc>
          <w:tcPr>
            <w:tcW w:w="5528" w:type="dxa"/>
            <w:noWrap/>
            <w:vAlign w:val="center"/>
            <w:hideMark/>
          </w:tcPr>
          <w:p w:rsidR="00893CD8" w:rsidRPr="00893CD8" w:rsidRDefault="00893CD8" w:rsidP="00893CD8">
            <w:pPr>
              <w:rPr>
                <w:rFonts w:ascii="Calibri" w:eastAsia="Times New Roman" w:hAnsi="Calibri" w:cs="Calibri"/>
                <w:color w:val="000000"/>
              </w:rPr>
            </w:pPr>
            <w:r w:rsidRPr="00893CD8">
              <w:rPr>
                <w:rFonts w:ascii="Calibri" w:eastAsia="Times New Roman" w:hAnsi="Calibri" w:cs="Calibri"/>
                <w:color w:val="000000"/>
              </w:rPr>
              <w:t>Soru - Cevap</w:t>
            </w:r>
          </w:p>
        </w:tc>
        <w:tc>
          <w:tcPr>
            <w:tcW w:w="2126" w:type="dxa"/>
            <w:noWrap/>
            <w:vAlign w:val="center"/>
            <w:hideMark/>
          </w:tcPr>
          <w:p w:rsidR="00893CD8" w:rsidRPr="00893CD8" w:rsidRDefault="00893CD8" w:rsidP="00893C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 xml:space="preserve">SİVİL TOPLUMA REHBERLİK EĞİTİMİ </w:t>
      </w:r>
    </w:p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ÖĞLEDEN SONRA PROGRAMI</w:t>
      </w:r>
    </w:p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Eğitimin Yapılacağı Tarih: 27/07/2022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D8">
        <w:rPr>
          <w:rFonts w:ascii="Times New Roman" w:hAnsi="Times New Roman" w:cs="Times New Roman"/>
          <w:b/>
          <w:sz w:val="24"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8642B7" w:rsidRPr="00817EDD" w:rsidTr="00A64AAB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8642B7" w:rsidRPr="00817EDD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7ED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8642B7" w:rsidRPr="00817EDD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7ED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8642B7" w:rsidRPr="00817EDD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7ED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42B7" w:rsidRPr="00817EDD" w:rsidTr="00A64AAB">
        <w:trPr>
          <w:trHeight w:val="940"/>
        </w:trPr>
        <w:tc>
          <w:tcPr>
            <w:tcW w:w="1418" w:type="dxa"/>
            <w:vAlign w:val="center"/>
            <w:hideMark/>
          </w:tcPr>
          <w:p w:rsidR="008642B7" w:rsidRPr="00817EDD" w:rsidRDefault="008642B7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13.30-14.0</w:t>
            </w:r>
            <w:r w:rsidRPr="00817EDD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8642B7" w:rsidRPr="00817EDD" w:rsidRDefault="008642B7" w:rsidP="00A64AA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Proje Destek Sistemi (PRODES) Bilgilendirme Sunumu</w:t>
            </w:r>
          </w:p>
        </w:tc>
        <w:tc>
          <w:tcPr>
            <w:tcW w:w="2126" w:type="dxa"/>
            <w:vAlign w:val="center"/>
            <w:hideMark/>
          </w:tcPr>
          <w:p w:rsidR="008642B7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7EDD">
              <w:rPr>
                <w:rFonts w:ascii="Calibri" w:eastAsia="Times New Roman" w:hAnsi="Calibri" w:cs="Calibri"/>
                <w:color w:val="000000"/>
                <w:lang w:eastAsia="tr-TR"/>
              </w:rPr>
              <w:t>Sivil Toplumla İlişkiler Genel Müdürlüğü</w:t>
            </w:r>
            <w:r w:rsidR="00ED24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ED2424">
              <w:rPr>
                <w:rFonts w:ascii="Calibri" w:eastAsia="Times New Roman" w:hAnsi="Calibri" w:cs="Calibri"/>
                <w:color w:val="000000"/>
              </w:rPr>
              <w:t>–</w:t>
            </w:r>
          </w:p>
          <w:p w:rsidR="008642B7" w:rsidRPr="00817EDD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Proje Destek Daire Başkanlığı</w:t>
            </w:r>
          </w:p>
        </w:tc>
      </w:tr>
      <w:tr w:rsidR="008642B7" w:rsidRPr="00817EDD" w:rsidTr="00A64AAB">
        <w:trPr>
          <w:trHeight w:val="330"/>
        </w:trPr>
        <w:tc>
          <w:tcPr>
            <w:tcW w:w="1418" w:type="dxa"/>
            <w:vAlign w:val="center"/>
            <w:hideMark/>
          </w:tcPr>
          <w:p w:rsidR="008642B7" w:rsidRPr="00817EDD" w:rsidRDefault="008642B7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17EDD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4.00-15.0</w:t>
            </w:r>
            <w:r w:rsidRPr="00817EDD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0</w:t>
            </w:r>
          </w:p>
        </w:tc>
        <w:tc>
          <w:tcPr>
            <w:tcW w:w="5528" w:type="dxa"/>
            <w:noWrap/>
            <w:vAlign w:val="center"/>
            <w:hideMark/>
          </w:tcPr>
          <w:p w:rsidR="008642B7" w:rsidRPr="00817EDD" w:rsidRDefault="008642B7" w:rsidP="00A64AA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STK’lara Sağlanan Ulusal ve Uluslararası Fon Kaynakları Hakkında Bilgilendirme Sunumu</w:t>
            </w:r>
          </w:p>
        </w:tc>
        <w:tc>
          <w:tcPr>
            <w:tcW w:w="2126" w:type="dxa"/>
            <w:noWrap/>
            <w:vAlign w:val="center"/>
            <w:hideMark/>
          </w:tcPr>
          <w:p w:rsidR="008642B7" w:rsidRPr="00817EDD" w:rsidRDefault="00ED2424" w:rsidP="00A64AA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Dışişleri Bakanlığı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– </w:t>
            </w:r>
            <w:r w:rsidR="008642B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Avrupa Birliği Başkanlığı</w:t>
            </w:r>
          </w:p>
        </w:tc>
      </w:tr>
      <w:tr w:rsidR="008642B7" w:rsidRPr="00817EDD" w:rsidTr="00A64AAB">
        <w:trPr>
          <w:trHeight w:val="330"/>
        </w:trPr>
        <w:tc>
          <w:tcPr>
            <w:tcW w:w="1418" w:type="dxa"/>
            <w:vAlign w:val="center"/>
          </w:tcPr>
          <w:p w:rsidR="008642B7" w:rsidRPr="00817EDD" w:rsidRDefault="008642B7" w:rsidP="00A64AAB">
            <w:pP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15-00-16.00</w:t>
            </w:r>
          </w:p>
        </w:tc>
        <w:tc>
          <w:tcPr>
            <w:tcW w:w="5528" w:type="dxa"/>
            <w:noWrap/>
            <w:vAlign w:val="center"/>
          </w:tcPr>
          <w:p w:rsidR="008642B7" w:rsidRDefault="008642B7" w:rsidP="00A64AA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Soru - Cevap</w:t>
            </w:r>
          </w:p>
        </w:tc>
        <w:tc>
          <w:tcPr>
            <w:tcW w:w="2126" w:type="dxa"/>
            <w:noWrap/>
            <w:vAlign w:val="center"/>
          </w:tcPr>
          <w:p w:rsidR="008642B7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3CD8" w:rsidRPr="00893CD8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3C77CC"/>
    <w:rsid w:val="00414D1E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27A3A"/>
    <w:rsid w:val="007958FC"/>
    <w:rsid w:val="007C4E77"/>
    <w:rsid w:val="0082402F"/>
    <w:rsid w:val="0085392F"/>
    <w:rsid w:val="008642B7"/>
    <w:rsid w:val="00893CD8"/>
    <w:rsid w:val="008A5B25"/>
    <w:rsid w:val="008B6BD4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82111"/>
    <w:rsid w:val="00B318FB"/>
    <w:rsid w:val="00B900DD"/>
    <w:rsid w:val="00B979AA"/>
    <w:rsid w:val="00C843F2"/>
    <w:rsid w:val="00C94759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C5312"/>
    <w:rsid w:val="00EC7C2C"/>
    <w:rsid w:val="00ED2424"/>
    <w:rsid w:val="00F2799E"/>
    <w:rsid w:val="00F53BF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AE2D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27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Oktay TARHAN</cp:lastModifiedBy>
  <cp:revision>2</cp:revision>
  <dcterms:created xsi:type="dcterms:W3CDTF">2022-07-05T10:23:00Z</dcterms:created>
  <dcterms:modified xsi:type="dcterms:W3CDTF">2022-07-05T10:23:00Z</dcterms:modified>
</cp:coreProperties>
</file>